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bidi w:val="0"/>
        <w:spacing w:lineRule="auto" w:line="240" w:before="0" w:after="0"/>
        <w:ind w:hanging="0" w:left="0" w:right="-11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Конструкция КПП выполнена в соответствии с требованиями ГОСТ Р 50941-2017 «Кабина защитная. Общие технические требования и методы испытаний».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hanging="0" w:left="0" w:right="-113"/>
        <w:jc w:val="both"/>
        <w:rPr>
          <w:rFonts w:ascii="Times New Roman" w:hAnsi="Times New Roman" w:cs="Times New Roman"/>
          <w:sz w:val="21"/>
          <w:szCs w:val="21"/>
        </w:rPr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hanging="0" w:left="0" w:right="-113"/>
        <w:jc w:val="both"/>
        <w:rPr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u w:val="none"/>
        </w:rPr>
        <w:t>Функциональные, технические характеристики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567" w:right="-14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/>
      </w:r>
    </w:p>
    <w:tbl>
      <w:tblPr>
        <w:tblW w:w="978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8"/>
        <w:gridCol w:w="3696"/>
        <w:gridCol w:w="5387"/>
      </w:tblGrid>
      <w:tr>
        <w:trPr>
          <w:trHeight w:val="419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contextualSpacing/>
              <w:jc w:val="center"/>
              <w:rPr>
                <w:rFonts w:ascii="Times New Roman" w:hAnsi="Times New Roman"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№</w:t>
            </w:r>
          </w:p>
          <w:p>
            <w:pPr>
              <w:pStyle w:val="Normal"/>
              <w:spacing w:lineRule="auto" w:line="228" w:before="0" w:after="0"/>
              <w:ind w:right="-144"/>
              <w:contextualSpacing/>
              <w:jc w:val="center"/>
              <w:rPr>
                <w:rFonts w:ascii="Times New Roman" w:hAnsi="Times New Roman"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contextualSpacing/>
              <w:jc w:val="center"/>
              <w:rPr>
                <w:rFonts w:ascii="Times New Roman" w:hAnsi="Times New Roman"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Наименование показателей товара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contextualSpacing/>
              <w:jc w:val="center"/>
              <w:rPr>
                <w:rFonts w:ascii="Times New Roman" w:hAnsi="Times New Roman"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Характеристики (значения показателей) товара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Контрольно-пропускной пункт в количестве 1 комплекта</w:t>
            </w:r>
          </w:p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Страна происхождения товара – Российская Федерация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для осуществления установленного режима доступа на объект (с объекта)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Этажность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Основание 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буро-винтовые сваи, обработанные антикоррозийным составом. Цоколь по периметру КПП закрыт металлическим листом в цвет фасада с разуклонкой согласно существующего рельефа.</w:t>
            </w:r>
          </w:p>
        </w:tc>
      </w:tr>
      <w:tr>
        <w:trPr>
          <w:trHeight w:val="10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jc w:val="center"/>
              <w:rPr>
                <w:rFonts w:ascii="Times New Roman" w:hAnsi="Times New Roman"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длина сваи: м – 1,5</w:t>
            </w:r>
          </w:p>
        </w:tc>
      </w:tr>
      <w:tr>
        <w:trPr>
          <w:trHeight w:val="2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ind w:right="-144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 Основные характеристики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hanging="250" w:right="-144"/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Внешние габаритные размеры КПП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высота,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28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6000 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ширина,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4200 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Конструкция 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климатическое исполнение КПП </w:t>
            </w:r>
            <w:r>
              <w:rPr>
                <w:rFonts w:ascii="Times New Roman" w:hAnsi="Times New Roman"/>
                <w:sz w:val="18"/>
                <w:szCs w:val="18"/>
              </w:rPr>
              <w:t>(с учетом ветровой, снеговой нагрузки);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несущий элемент – высокопрочный металлический каркас;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оборудуется двумя помещениями: электронная проходная и комната охраны;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-стены КПП наружные и внутренние перегородки, крыша, наружные дверные блоки утеплены;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каркас КПП обеспечивает пространственную жесткость и безопасность эксплуатации;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Calibri" w:cs="Times New Roman"/>
                <w:b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 металлоконструкции, использованные для возведения КПП, а также конструкции основного и дополнительного каркаса прогрунтованы и окрашены. </w:t>
            </w:r>
            <w:r>
              <w:rPr>
                <w:rFonts w:ascii="Times New Roman" w:hAnsi="Times New Roman"/>
                <w:sz w:val="18"/>
                <w:szCs w:val="18"/>
              </w:rPr>
              <w:t>Окрашенные поверхности должны быть ровными, без потеков, пятен, пузырей и посторонних включений).</w:t>
            </w:r>
          </w:p>
        </w:tc>
      </w:tr>
      <w:tr>
        <w:trPr>
          <w:trHeight w:val="126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Кровля односкатная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материал: профильный настил универсального типа;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высота волны, мм – 35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толщина листа, мм: 0, 45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Комната охраны (внешние размеры)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ширина,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Calibri" w:cs="Times New Roman"/>
                <w:b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длина,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Calibri" w:cs="Times New Roman"/>
                <w:b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3000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Пулестойкость КПП и комнаты охраны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  <w:highlight w:val="green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highlight w:val="green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стены, дверные блоки, окна, потолок - класс пулестойкости Бр4 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  <w:highlight w:val="green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highlight w:val="green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Комната охраны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Calibri" w:cs="Times New Roman"/>
                <w:b/>
                <w:sz w:val="18"/>
                <w:szCs w:val="18"/>
                <w:shd w:fill="FFFFFF" w:val="clea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стены, дверные блоки, окна – класс пулестойкости Бр5 </w:t>
            </w:r>
          </w:p>
        </w:tc>
      </w:tr>
      <w:tr>
        <w:trPr>
          <w:trHeight w:val="93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Стены наружные 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панели металлические, цветовое решение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Ral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7037;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металлических панелей;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пароизоляция;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утеплитель: 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утеплителя – на основе базальта;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утеплителя – НГ</w:t>
            </w:r>
          </w:p>
        </w:tc>
      </w:tr>
      <w:tr>
        <w:trPr>
          <w:trHeight w:val="28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утеплителя, мм – 100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сплошной (сварной) бронированный лист класс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пулестойкости Бр4; 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несущий каркас КПП;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внутренних отделочных панелей;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внутренние отделочные панели: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панелей – НГ;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цвет панелей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по согласованию с Заказчиком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Фронтон 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панели металлические, цветовое решение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Ral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7037;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металлических панелей;</w:t>
            </w:r>
          </w:p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скатной кровли</w:t>
            </w:r>
          </w:p>
        </w:tc>
      </w:tr>
      <w:tr>
        <w:trPr>
          <w:trHeight w:val="3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Перегородки внутренние комнаты охраны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отделочные панели: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панелей – НГ;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цвет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по согласованию с заказчиком;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внутренних отделочных панелей;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сплошной (сварной) бронированный лист, класс пулестойкости Бр5;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утеплитель в несущем каркасе перегородок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утеплителя – на основе базальта;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утеплителя – НГ</w:t>
            </w:r>
          </w:p>
        </w:tc>
      </w:tr>
      <w:tr>
        <w:trPr>
          <w:trHeight w:val="25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утеплителя, мм – 100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каркас для внутренних отделочных панелей;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отделочные панели: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панелей – НГ;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цвет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по согласованию с Заказчиком</w:t>
            </w:r>
          </w:p>
        </w:tc>
      </w:tr>
      <w:tr>
        <w:trPr>
          <w:trHeight w:val="217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Кровля 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материал: профильный настил универсального типа;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высота волны, мм – 35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;</w:t>
            </w:r>
          </w:p>
        </w:tc>
      </w:tr>
      <w:tr>
        <w:trPr>
          <w:trHeight w:val="26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толщина листа, мм: 0, 45</w:t>
            </w:r>
          </w:p>
        </w:tc>
      </w:tr>
      <w:tr>
        <w:trPr>
          <w:trHeight w:val="11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цветовое решение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Ral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7037;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-несущий каркас кровли;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со стороны наклона кровля оснащена приемным желобом с водостоком</w:t>
            </w:r>
          </w:p>
        </w:tc>
      </w:tr>
      <w:tr>
        <w:trPr>
          <w:trHeight w:val="168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Потолок 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пароизоляция;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утеплитель: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утеплителя – на основе базальта;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утеплителя – НГ</w:t>
            </w:r>
          </w:p>
        </w:tc>
      </w:tr>
      <w:tr>
        <w:trPr>
          <w:trHeight w:val="168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утеплителя, мм: 100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cплошной (сварной) бронированный лист класс пулестойкости Бр4; 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несущий каркас КПП;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-каркас для внутренних отделочных потолочных панелей;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внутренние отделочные потолочные панели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(класс горючести – НГ)</w:t>
            </w:r>
          </w:p>
        </w:tc>
      </w:tr>
      <w:tr>
        <w:trPr>
          <w:trHeight w:val="138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lang w:val="en-US"/>
              </w:rPr>
              <w:t>10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Пол (состав)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кварц виниловое покрытие;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подложка;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шпунтованная половая доска:</w:t>
            </w:r>
          </w:p>
        </w:tc>
      </w:tr>
      <w:tr>
        <w:trPr>
          <w:trHeight w:val="21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половой доски, мм: 30</w:t>
            </w:r>
          </w:p>
        </w:tc>
      </w:tr>
      <w:tr>
        <w:trPr>
          <w:trHeight w:val="102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пароизоляция;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утеплитель в несущем каркасе КПП: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утеплителя – на основе базальта;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горючести утеплителя – НГ;</w:t>
            </w:r>
          </w:p>
        </w:tc>
      </w:tr>
      <w:tr>
        <w:trPr>
          <w:trHeight w:val="133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утеплителя, мм: 100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металлический лист с отверстиями для слива конденсата и вентилирования:</w:t>
            </w:r>
          </w:p>
        </w:tc>
      </w:tr>
      <w:tr>
        <w:trPr>
          <w:trHeight w:val="243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толщина металлического листа, мм: 1,5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Односкатный козырек</w:t>
            </w:r>
          </w:p>
        </w:tc>
      </w:tr>
      <w:tr>
        <w:trPr>
          <w:trHeight w:val="132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отступ от помещения,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</w:t>
            </w:r>
          </w:p>
        </w:tc>
      </w:tr>
      <w:tr>
        <w:trPr>
          <w:trHeight w:val="279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материал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профильный настил универсального типа</w:t>
            </w:r>
          </w:p>
        </w:tc>
      </w:tr>
      <w:tr>
        <w:trPr>
          <w:trHeight w:val="2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высота волны,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</w:t>
            </w:r>
          </w:p>
        </w:tc>
      </w:tr>
      <w:tr>
        <w:trPr>
          <w:trHeight w:val="131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толщина листа,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0, 45</w:t>
            </w:r>
          </w:p>
        </w:tc>
      </w:tr>
      <w:tr>
        <w:trPr>
          <w:trHeight w:val="25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цветовое решение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Ral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7037</w:t>
            </w:r>
          </w:p>
        </w:tc>
      </w:tr>
      <w:tr>
        <w:trPr>
          <w:trHeight w:val="22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каркас козырька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Дверные блоки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lang w:val="en-US"/>
              </w:rPr>
              <w:t>12.1.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Наружные в количестве 4шт.</w:t>
            </w:r>
          </w:p>
        </w:tc>
      </w:tr>
      <w:tr>
        <w:trPr>
          <w:trHeight w:val="20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2100</w:t>
            </w:r>
          </w:p>
        </w:tc>
      </w:tr>
      <w:tr>
        <w:trPr>
          <w:trHeight w:val="117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</w:tr>
      <w:tr>
        <w:trPr>
          <w:trHeight w:val="192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защиты по взломостойкости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</w:tr>
      <w:tr>
        <w:trPr>
          <w:trHeight w:val="249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Бр4</w:t>
            </w:r>
          </w:p>
        </w:tc>
      </w:tr>
      <w:tr>
        <w:trPr>
          <w:trHeight w:val="216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ригели 5 шт. и защита от перепиливания и высверливания рабочих элементов;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-петли с опорным подшипником, с противосъёмными ригелями:</w:t>
            </w:r>
          </w:p>
        </w:tc>
      </w:tr>
      <w:tr>
        <w:trPr>
          <w:trHeight w:val="25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количество, шт.: 2</w:t>
            </w:r>
          </w:p>
        </w:tc>
      </w:tr>
      <w:tr>
        <w:trPr>
          <w:trHeight w:val="138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-два резиновых контура уплотнения по всему периметру дверного полотна;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доводчик 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запорная задвижка;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ручка типа «дуга» с базой 200 мм с двух сторон;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приспособления для ведения ответной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стрельбы (бойницы) оснащены защитной заслонкой с поворотно-откидным механизмом и комплектом исполнительных устройств.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Две входные двери оборудованы: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считывателями карт, 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магнитными замками, 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датчиками состояния двери,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светодиодными индикаторами,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комплектом кабелей CQR для подключения,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блоком управления,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батареей аккумуляторной,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двумя механическими врезными замками сувальдного типа повышенной секретности на каждую дверь.</w:t>
            </w:r>
          </w:p>
        </w:tc>
      </w:tr>
      <w:tr>
        <w:trPr>
          <w:trHeight w:val="13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Две двери на выход из помещения оборудованы: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электромеханическими замками с возможностью блокировки из помещения постового и ДЧ по 1 шт. на каждую дверь;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механическими врезными замками сувальдного типа повышенной секретности по 1 шт. на каждую дверь</w:t>
            </w:r>
          </w:p>
        </w:tc>
      </w:tr>
      <w:tr>
        <w:trPr>
          <w:trHeight w:val="27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Внутренняя (вход в комнату охраны) в количестве 1 шт.</w:t>
            </w:r>
          </w:p>
        </w:tc>
      </w:tr>
      <w:tr>
        <w:trPr>
          <w:trHeight w:val="266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2100</w:t>
            </w:r>
          </w:p>
        </w:tc>
      </w:tr>
      <w:tr>
        <w:trPr>
          <w:trHeight w:val="127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</w:tr>
      <w:tr>
        <w:trPr>
          <w:trHeight w:val="204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защиты по взломостойкости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Бр-5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ригели 5 шт. и защита от перепиливания и высверливания рабочих элементов;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-петли с опорным подшипником, с противосъёмными ригелями:</w:t>
            </w:r>
          </w:p>
        </w:tc>
      </w:tr>
      <w:tr>
        <w:trPr>
          <w:trHeight w:val="25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количество, шт.:</w:t>
            </w: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>
        <w:trPr>
          <w:trHeight w:val="7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-два резиновых контура уплотнения по всему периметру дверного полотна;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доводчик;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запорная задвижка;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ручка типа «нажимная» с двух сторон;</w:t>
            </w:r>
          </w:p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два механических врезных </w:t>
            </w:r>
          </w:p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замка сувальдного типа повышенной секретности</w:t>
            </w:r>
          </w:p>
        </w:tc>
      </w:tr>
      <w:tr>
        <w:trPr>
          <w:trHeight w:val="7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3.Оконные блоки</w:t>
            </w:r>
          </w:p>
        </w:tc>
      </w:tr>
      <w:tr>
        <w:trPr>
          <w:trHeight w:val="165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13.1.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Оконный блок в количестве 1 шт.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1000 </w:t>
            </w:r>
          </w:p>
        </w:tc>
      </w:tr>
      <w:tr>
        <w:trPr>
          <w:trHeight w:val="123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700 </w:t>
            </w:r>
          </w:p>
        </w:tc>
      </w:tr>
      <w:tr>
        <w:trPr>
          <w:trHeight w:val="10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Бр5</w:t>
            </w:r>
          </w:p>
        </w:tc>
      </w:tr>
      <w:tr>
        <w:trPr>
          <w:trHeight w:val="137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стеклопакет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тонированный</w:t>
            </w:r>
          </w:p>
        </w:tc>
      </w:tr>
      <w:tr>
        <w:trPr>
          <w:trHeight w:val="147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бронелоток с подвижной кареткой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</w:t>
            </w:r>
          </w:p>
        </w:tc>
      </w:tr>
      <w:tr>
        <w:trPr>
          <w:trHeight w:val="158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переговорное устройство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</w:t>
            </w:r>
          </w:p>
        </w:tc>
      </w:tr>
      <w:tr>
        <w:trPr>
          <w:trHeight w:val="246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13.2.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Оконный блок в количестве 1 шт.</w:t>
            </w:r>
          </w:p>
        </w:tc>
      </w:tr>
      <w:tr>
        <w:trPr>
          <w:trHeight w:val="264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rPr/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1450</w:t>
            </w:r>
          </w:p>
        </w:tc>
      </w:tr>
      <w:tr>
        <w:trPr>
          <w:trHeight w:val="18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Бр5</w:t>
            </w:r>
          </w:p>
        </w:tc>
      </w:tr>
      <w:tr>
        <w:trPr>
          <w:trHeight w:val="18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стеклопакет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тонированный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бронелоток с подвижной кареткой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переговорное устройство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13.3.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Оконный блок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1450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Бр4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стеклопакет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тонированный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13.4.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Оконные блоки в количестве 3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высота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ширина стеклопакета,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пулестойкоси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Бр4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стеклопакет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тонированный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Освещение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14.1.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Внутренние светильники в количестве 4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встраиваемый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мощность, 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300х300</w:t>
            </w:r>
          </w:p>
        </w:tc>
      </w:tr>
      <w:tr>
        <w:trPr>
          <w:trHeight w:val="175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проходная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14.2.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Внутренние светильники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встраиваемый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мощность, 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размер,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300х300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комната охраны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14.3.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Наружные светильники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светодиодный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уличное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накладной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над входными дверьми по 1 шт. на каждой стороне КПП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мощность, 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Электрооборудование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Кабельная продукция</w:t>
            </w:r>
          </w:p>
        </w:tc>
      </w:tr>
      <w:tr>
        <w:trPr>
          <w:trHeight w:val="155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сечение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соответствии с нагрузкой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монтаж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скрытый в защитной гофре (в полном объеме)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Щит распределительный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ударопрочный пластик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защита от случайного переключения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DIN-рейка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15.3.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Устройство защитного отключения 1шт.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для установки на DIN-рейку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поддерживающая горение пластмасса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полюсов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номинальный ток, 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15.4.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Вводной автоматический выключатель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для установки на DIN-рейку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поддерживающая горение пластмасса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полюсов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номинальный ток, 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защита от длительных перегрузок и токов короткого замыкания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15.5.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Распределительный автоматический выключатель в количестве 3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для установки на DIN-рейку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поддерживающая горение пластмасса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полюсов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номинальный ток, 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защита от длительных перегрузок и токов короткого замыкания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15.6.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Распределительный автоматический выключатель в количестве 4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для установки на DIN-рейку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поддерживающая горение пластмасса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полюсов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номинальный ток, 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защита от длительных перегрузок и токов короткого замыкания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15.7.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Распределительный автоматический выключатель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замок для установки на DIN-рейку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поддерживающая горение пластмасса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полюсов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номинальный ток, 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защита от длительных перегрузок и токов короткого замыкания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15.8.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Розетки в количестве 3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комната охраны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(гнезд) мест подключения,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встраиваемая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15.9.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Розетка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проходная около рамки металлоискателя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(гнезд) мест подключения,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встраиваемая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15.10.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Розетка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проходная около турникета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(гнезд) мест подключения,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встраиваемая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15.11.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Розетка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проходная в месте ожидания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(гнезд) мест подключения,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тип монтажа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встраиваемая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Кондиционер (сплит-система)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один наружный блок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два внутренних блока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зимний пакет оборудования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наличие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потребляемая мощность (охлаждение), кВт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потребляемая мощность </w:t>
            </w:r>
          </w:p>
          <w:p>
            <w:pPr>
              <w:pStyle w:val="Normal"/>
              <w:spacing w:lineRule="auto" w:line="228" w:before="0" w:after="0"/>
              <w:ind w:right="-1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(обогрев), кВт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защита от поражения эл. током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I класс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класс энергоэффективности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Вентилятор канальный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диаметр канала, мм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125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производительность, м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напряжение питания, 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220-240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потребляемая мощность, Вт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уровень шума, дБ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  <w:tr>
        <w:trPr>
          <w:trHeight w:val="20" w:hRule="atLeast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шт. комната охраны, 1 шт. проходная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Сети связи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Телефонизация: От телефонной коробки производится разводка до каждого рабочего места сотрудника, где устанавливается розетка с 2 телефонными портами RJ-11. В месте ожидания посетителей устанавливаются 2 телефонные розетки с портами RJ-11.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Для организации связи устанавливается телекоммуникационный шкаф. К шкафу прокладывается электрический кабель 3х2,5 от автоматического выключателя мощностью 16А, в телекоммуникационном шкафу устанавливается блок розеток с входной вилкой тип IEC-60320-C14, количество розеток 8 шт.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Информационная кабельная подсистема строится в соответствии с требованиями стандарта ISO/IEC 11801 Class D, категория 5Е.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Каждое рабочее место сотрудника оборудовано 3 информационными розетками с портами RJ-45. Максимальная длина кабеля от информационного порта RJ-45 до коммутационной панели не превышает 90 м.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Все кабели от портов информационных розеток сводятся на соответствующие коммутационные панели в устанавливаемый телекоммуникационный шкаф. 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Для подключения создаваемой локально-вычислительной сети КПП к существующей сети связи прокладывается волоконно-оптический одномодовый кабель с 8 волокнами от телекоммуникационного шкафа до существующего шкафа видеонаблюдения (согласовать с заказчиком). Осуществляется распайка волоконно-оптического кабеля, оконечиваются волокна разъемами SC.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 кабельные системы локальной вычислительной сети выполнены с учётом требований по физической защите трасс от повреждения. Все порты RJ-45, расположенные на рабочих местах, а также на коммутационной панели в коммутационном шкафу, промаркированы таким способом, чтобы их можно было однозначно идентифицировать.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Коробка распределительная телефонная в количестве 1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34"/>
              <w:jc w:val="both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металлическая коробка распределительная телефонная КВ-КРТ-10 для установки плинта на 10 пар типоразмера LSA-PROFIL с замком предназначена для коммутации телефонных линий и каналов передачи данных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20.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Шкаф телекоммуникационный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Блок розеток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22.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Кабель оптический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23.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Видеонаблюдение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24.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Система контроля и управления доступом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24.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Турникет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24.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Металлодетектор арочный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25.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ПЭВМ для вывода изображения в количестве 1 комплекта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26.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Считыватель в количестве 6 шт.</w:t>
            </w:r>
          </w:p>
        </w:tc>
      </w:tr>
      <w:tr>
        <w:trPr>
          <w:trHeight w:val="2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27. К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онтроллер доступа в количестве 4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28.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Преобразователь интерфейсов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-485/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RS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-232 в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Ethernet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в количестве 2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29.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Кнопка прохода в количестве 2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максимальный коммутируемый ток 0,1 А при напряжении 12 В;</w:t>
            </w:r>
          </w:p>
          <w:p>
            <w:pPr>
              <w:pStyle w:val="Normal"/>
              <w:spacing w:lineRule="auto" w:line="22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накладной металлический корпус;</w:t>
            </w:r>
          </w:p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контакты нормально-разомкнутые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30.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Вызывная панель домофона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31.</w:t>
            </w:r>
          </w:p>
        </w:tc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 видеодомофона цветной в количестве 1 шт.</w:t>
            </w:r>
          </w:p>
        </w:tc>
      </w:tr>
      <w:tr>
        <w:trPr>
          <w:trHeight w:val="20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sz w:val="18"/>
                <w:szCs w:val="18"/>
              </w:rPr>
              <w:t>32.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извещатель пожарный дымовой оптико-электронный адресно-аналоговый, со встроенным изолятором короткого замыкания и возможностью подключения выносного устройства индикации ДИП-34А-05 в количестве 2 шт.;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извещатель пожарный ручной адресный ИПР 513-3АМ в количестве 2 шт.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28" w:before="0" w:after="0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световое табло ЛЮКС-24 ВЫХОД в количестве 2 шт.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28" w:before="0" w:after="0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- источник питания ИВЭПР 12/5 в количестве 1 шт. </w:t>
            </w:r>
          </w:p>
          <w:p>
            <w:pPr>
              <w:pStyle w:val="Normal"/>
              <w:spacing w:lineRule="auto" w:line="228" w:before="0" w:after="0"/>
              <w:ind w:right="-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 оповещатель Свирель в количестве 1 шт.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 w:right="-141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false"/>
        <w:bidi w:val="0"/>
        <w:spacing w:lineRule="auto" w:line="240" w:before="0" w:after="0"/>
        <w:ind w:hanging="0" w:left="0" w:right="-113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ar-SA"/>
        </w:rPr>
        <w:t xml:space="preserve">Гарантийный срок на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ar-SA"/>
        </w:rPr>
        <w:t>изделие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ar-SA"/>
        </w:rPr>
        <w:t xml:space="preserve"> составляет 24 месяца с даты подписания сторонами документа о приемке.</w:t>
      </w:r>
    </w:p>
    <w:p>
      <w:pPr>
        <w:pStyle w:val="Normal"/>
        <w:suppressAutoHyphens w:val="true"/>
        <w:snapToGrid w:val="false"/>
        <w:spacing w:lineRule="auto" w:line="240" w:before="0" w:after="0"/>
        <w:ind w:firstLine="567" w:right="-144"/>
        <w:jc w:val="both"/>
        <w:rPr>
          <w:rFonts w:ascii="Times New Roman" w:hAnsi="Times New Roman" w:eastAsia="Times New Roman" w:cs="Times New Roman"/>
          <w:sz w:val="21"/>
          <w:szCs w:val="21"/>
          <w:lang w:eastAsia="ar-SA"/>
        </w:rPr>
      </w:pPr>
      <w:r>
        <w:rPr/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701" w:right="707" w:gutter="0" w:header="0" w:top="650" w:footer="0" w:bottom="113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72.8pt;height:259.2pt" o:bullet="t">
        <v:imagedata r:id="rId1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a5242f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BodyText"/>
    <w:link w:val="2"/>
    <w:uiPriority w:val="9"/>
    <w:qFormat/>
    <w:rsid w:val="00a5242f"/>
    <w:pPr>
      <w:keepNext w:val="true"/>
      <w:widowControl w:val="false"/>
      <w:tabs>
        <w:tab w:val="clear" w:pos="708"/>
        <w:tab w:val="left" w:pos="576" w:leader="none"/>
      </w:tabs>
      <w:suppressAutoHyphens w:val="true"/>
      <w:spacing w:lineRule="atLeast" w:line="100" w:before="120" w:after="0"/>
      <w:ind w:hanging="576" w:left="576"/>
      <w:jc w:val="center"/>
      <w:outlineLvl w:val="1"/>
    </w:pPr>
    <w:rPr>
      <w:rFonts w:ascii="Times New Roman" w:hAnsi="Times New Roman" w:eastAsia="Times New Roman" w:cs="Times New Roman"/>
      <w:b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9"/>
    <w:qFormat/>
    <w:rsid w:val="00a524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uiPriority w:val="9"/>
    <w:qFormat/>
    <w:rsid w:val="00a5242f"/>
    <w:rPr>
      <w:rFonts w:ascii="Times New Roman" w:hAnsi="Times New Roman" w:eastAsia="Times New Roman" w:cs="Times New Roman"/>
      <w:b/>
      <w:kern w:val="2"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a5242f"/>
    <w:rPr>
      <w:rFonts w:ascii="Times New Roman" w:hAnsi="Times New Roman" w:cs="Times New Roman"/>
      <w:color w:val="0000FF"/>
      <w:u w:val="single"/>
    </w:rPr>
  </w:style>
  <w:style w:type="character" w:styleId="Style12" w:customStyle="1">
    <w:name w:val="Текст сноски Знак"/>
    <w:basedOn w:val="DefaultParagraphFont"/>
    <w:uiPriority w:val="99"/>
    <w:qFormat/>
    <w:rsid w:val="00a5242f"/>
    <w:rPr>
      <w:sz w:val="20"/>
      <w:szCs w:val="20"/>
    </w:rPr>
  </w:style>
  <w:style w:type="character" w:styleId="ConsPlusNormal" w:customStyle="1">
    <w:name w:val="ConsPlusNormal Знак"/>
    <w:link w:val="ConsPlusNormal1"/>
    <w:qFormat/>
    <w:locked/>
    <w:rsid w:val="00a5242f"/>
    <w:rPr>
      <w:rFonts w:ascii="Arial" w:hAnsi="Arial" w:cs="Arial"/>
    </w:rPr>
  </w:style>
  <w:style w:type="character" w:styleId="Style13">
    <w:name w:val="Символ сноски"/>
    <w:basedOn w:val="DefaultParagraphFont"/>
    <w:uiPriority w:val="99"/>
    <w:unhideWhenUsed/>
    <w:qFormat/>
    <w:rsid w:val="00a5242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ubjectvalue" w:customStyle="1">
    <w:name w:val="subjectvalue"/>
    <w:basedOn w:val="DefaultParagraphFont"/>
    <w:qFormat/>
    <w:rsid w:val="00a5242f"/>
    <w:rPr/>
  </w:style>
  <w:style w:type="character" w:styleId="21" w:customStyle="1">
    <w:name w:val="Основной текст (2) + Полужирный"/>
    <w:basedOn w:val="DefaultParagraphFont"/>
    <w:qFormat/>
    <w:rsid w:val="00a5242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2" w:customStyle="1">
    <w:name w:val="Основной текст (2)"/>
    <w:basedOn w:val="DefaultParagraphFont"/>
    <w:qFormat/>
    <w:rsid w:val="00a5242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Style14" w:customStyle="1">
    <w:name w:val="Абзац списка Знак"/>
    <w:link w:val="ListParagraph"/>
    <w:uiPriority w:val="34"/>
    <w:qFormat/>
    <w:rsid w:val="00a5242f"/>
    <w:rPr/>
  </w:style>
  <w:style w:type="character" w:styleId="Style15" w:customStyle="1">
    <w:name w:val="Основной текст Знак"/>
    <w:basedOn w:val="DefaultParagraphFont"/>
    <w:uiPriority w:val="99"/>
    <w:qFormat/>
    <w:rsid w:val="00a5242f"/>
    <w:rPr>
      <w:rFonts w:ascii="Calibri" w:hAnsi="Calibri" w:eastAsia="Calibri" w:cs="Times New Roman"/>
      <w:kern w:val="2"/>
      <w:lang w:eastAsia="ar-SA"/>
    </w:rPr>
  </w:style>
  <w:style w:type="character" w:styleId="FontStyle22" w:customStyle="1">
    <w:name w:val="Font Style22"/>
    <w:qFormat/>
    <w:rsid w:val="00a5242f"/>
    <w:rPr>
      <w:rFonts w:ascii="Arial" w:hAnsi="Arial" w:cs="Arial"/>
      <w:sz w:val="16"/>
      <w:szCs w:val="16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a5242f"/>
    <w:rPr>
      <w:rFonts w:ascii="Arial" w:hAnsi="Arial" w:cs="Arial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a5242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Верхний колонтитул Знак1"/>
    <w:basedOn w:val="DefaultParagraphFont"/>
    <w:uiPriority w:val="99"/>
    <w:semiHidden/>
    <w:qFormat/>
    <w:rsid w:val="00a5242f"/>
    <w:rPr/>
  </w:style>
  <w:style w:type="character" w:styleId="Style18" w:customStyle="1">
    <w:name w:val="Нижний колонтитул Знак"/>
    <w:basedOn w:val="DefaultParagraphFont"/>
    <w:uiPriority w:val="99"/>
    <w:qFormat/>
    <w:rsid w:val="00a5242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a5242f"/>
    <w:rPr/>
  </w:style>
  <w:style w:type="character" w:styleId="Style19" w:customStyle="1">
    <w:name w:val="Основной текст с отступом Знак"/>
    <w:basedOn w:val="DefaultParagraphFont"/>
    <w:qFormat/>
    <w:rsid w:val="00a5242f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5242f"/>
    <w:rPr>
      <w:b/>
      <w:bCs/>
    </w:rPr>
  </w:style>
  <w:style w:type="character" w:styleId="Cardmaininfocontent" w:customStyle="1">
    <w:name w:val="cardmaininfo__content"/>
    <w:basedOn w:val="DefaultParagraphFont"/>
    <w:qFormat/>
    <w:rsid w:val="00a5242f"/>
    <w:rPr/>
  </w:style>
  <w:style w:type="character" w:styleId="Cardmaininfotitle" w:customStyle="1">
    <w:name w:val="cardmaininfo__title"/>
    <w:basedOn w:val="DefaultParagraphFont"/>
    <w:qFormat/>
    <w:rsid w:val="00a5242f"/>
    <w:rPr/>
  </w:style>
  <w:style w:type="character" w:styleId="Style20" w:customStyle="1">
    <w:name w:val="Основной текст_"/>
    <w:basedOn w:val="DefaultParagraphFont"/>
    <w:link w:val="23"/>
    <w:uiPriority w:val="99"/>
    <w:qFormat/>
    <w:locked/>
    <w:rsid w:val="00a5242f"/>
    <w:rPr>
      <w:spacing w:val="2"/>
      <w:shd w:fill="FFFFFF" w:val="clear"/>
    </w:rPr>
  </w:style>
  <w:style w:type="character" w:styleId="13" w:customStyle="1">
    <w:name w:val="Основной текст1"/>
    <w:basedOn w:val="Style20"/>
    <w:uiPriority w:val="99"/>
    <w:qFormat/>
    <w:rsid w:val="00a5242f"/>
    <w:rPr>
      <w:color w:val="000000"/>
      <w:spacing w:val="2"/>
      <w:w w:val="100"/>
      <w:shd w:fill="FFFFFF" w:val="clear"/>
      <w:lang w:val="ru-RU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5"/>
    <w:uiPriority w:val="99"/>
    <w:rsid w:val="00a5242f"/>
    <w:pPr>
      <w:suppressAutoHyphens w:val="true"/>
      <w:spacing w:lineRule="auto" w:line="276" w:before="0" w:after="120"/>
    </w:pPr>
    <w:rPr>
      <w:rFonts w:ascii="Calibri" w:hAnsi="Calibri" w:eastAsia="Calibri" w:cs="Times New Roman"/>
      <w:kern w:val="2"/>
      <w:lang w:eastAsia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Style12"/>
    <w:uiPriority w:val="99"/>
    <w:unhideWhenUsed/>
    <w:rsid w:val="00a5242f"/>
    <w:pPr>
      <w:spacing w:lineRule="auto" w:line="240" w:before="0" w:after="0"/>
      <w:jc w:val="both"/>
    </w:pPr>
    <w:rPr>
      <w:sz w:val="20"/>
      <w:szCs w:val="20"/>
    </w:rPr>
  </w:style>
  <w:style w:type="paragraph" w:styleId="ListParagraph">
    <w:name w:val="List Paragraph"/>
    <w:basedOn w:val="Normal"/>
    <w:link w:val="Style14"/>
    <w:uiPriority w:val="34"/>
    <w:qFormat/>
    <w:rsid w:val="00a5242f"/>
    <w:pPr>
      <w:spacing w:lineRule="auto" w:line="240" w:before="0" w:after="0"/>
      <w:ind w:left="720"/>
      <w:contextualSpacing/>
      <w:jc w:val="both"/>
    </w:pPr>
    <w:rPr/>
  </w:style>
  <w:style w:type="paragraph" w:styleId="ConsPlusNormal1" w:customStyle="1">
    <w:name w:val="ConsPlusNormal"/>
    <w:link w:val="ConsPlusNormal"/>
    <w:qFormat/>
    <w:rsid w:val="00a5242f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Абзац списка1"/>
    <w:qFormat/>
    <w:rsid w:val="00a5242f"/>
    <w:pPr>
      <w:widowControl/>
      <w:tabs>
        <w:tab w:val="clear" w:pos="708"/>
        <w:tab w:val="left" w:pos="3345" w:leader="none"/>
      </w:tabs>
      <w:bidi w:val="0"/>
      <w:spacing w:lineRule="auto" w:line="276" w:before="0" w:after="200"/>
      <w:ind w:left="720"/>
      <w:contextualSpacing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nformat" w:customStyle="1">
    <w:name w:val="ConsNonformat"/>
    <w:uiPriority w:val="99"/>
    <w:qFormat/>
    <w:rsid w:val="00a5242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uiPriority w:val="99"/>
    <w:qFormat/>
    <w:rsid w:val="00a5242f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eastAsia="ru-RU" w:val="ru-RU" w:bidi="ar-SA"/>
    </w:rPr>
  </w:style>
  <w:style w:type="paragraph" w:styleId="Iauiue1" w:customStyle="1">
    <w:name w:val="Iau?iue1"/>
    <w:uiPriority w:val="99"/>
    <w:qFormat/>
    <w:rsid w:val="00a5242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Style181" w:customStyle="1">
    <w:name w:val="Style18"/>
    <w:qFormat/>
    <w:rsid w:val="00a5242f"/>
    <w:pPr>
      <w:widowControl w:val="false"/>
      <w:bidi w:val="0"/>
      <w:spacing w:lineRule="exact" w:line="211" w:before="0" w:after="0"/>
      <w:ind w:firstLine="461"/>
      <w:jc w:val="both"/>
    </w:pPr>
    <w:rPr>
      <w:rFonts w:ascii="Arial" w:hAnsi="Arial" w:eastAsia="Calibri" w:cs="Arial" w:eastAsiaTheme="minorHAnsi"/>
      <w:color w:val="auto"/>
      <w:kern w:val="0"/>
      <w:sz w:val="24"/>
      <w:szCs w:val="24"/>
      <w:lang w:eastAsia="ru-RU" w:val="ru-RU" w:bidi="ar-SA"/>
    </w:rPr>
  </w:style>
  <w:style w:type="paragraph" w:styleId="4" w:customStyle="1">
    <w:name w:val="Абзац списка4"/>
    <w:qFormat/>
    <w:rsid w:val="00a5242f"/>
    <w:pPr>
      <w:widowControl/>
      <w:tabs>
        <w:tab w:val="clear" w:pos="708"/>
        <w:tab w:val="left" w:pos="3345" w:leader="none"/>
      </w:tabs>
      <w:bidi w:val="0"/>
      <w:spacing w:lineRule="auto" w:line="276" w:before="0" w:after="200"/>
      <w:ind w:left="720"/>
      <w:contextualSpacing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a5242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a5242f"/>
    <w:pPr>
      <w:spacing w:lineRule="auto" w:line="240" w:before="0" w:after="0"/>
      <w:jc w:val="both"/>
    </w:pPr>
    <w:rPr>
      <w:rFonts w:ascii="Arial" w:hAnsi="Arial" w:cs="Arial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Header">
    <w:name w:val="Header"/>
    <w:basedOn w:val="Normal"/>
    <w:link w:val="Style17"/>
    <w:uiPriority w:val="99"/>
    <w:rsid w:val="00a524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Style18"/>
    <w:uiPriority w:val="99"/>
    <w:rsid w:val="00a5242f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Normal" w:customStyle="1">
    <w:name w:val="ConsNormal"/>
    <w:uiPriority w:val="99"/>
    <w:qFormat/>
    <w:rsid w:val="00a5242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a5242f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en-US" w:bidi="ar-SA"/>
    </w:rPr>
  </w:style>
  <w:style w:type="paragraph" w:styleId="BodyTextIndent">
    <w:name w:val="Body Text Indent"/>
    <w:basedOn w:val="Normal"/>
    <w:link w:val="Style19"/>
    <w:rsid w:val="00a5242f"/>
    <w:pPr>
      <w:spacing w:lineRule="auto" w:line="240" w:before="0" w:after="120"/>
      <w:ind w:left="283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ListBullet">
    <w:name w:val="List Bullet"/>
    <w:basedOn w:val="Normal"/>
    <w:uiPriority w:val="99"/>
    <w:unhideWhenUsed/>
    <w:rsid w:val="00a5242f"/>
    <w:pPr>
      <w:numPr>
        <w:ilvl w:val="0"/>
        <w:numId w:val="1"/>
      </w:numPr>
      <w:spacing w:before="0" w:after="16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524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5242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a5242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23" w:customStyle="1">
    <w:name w:val="Основной текст2"/>
    <w:basedOn w:val="Normal"/>
    <w:link w:val="Style20"/>
    <w:uiPriority w:val="99"/>
    <w:qFormat/>
    <w:rsid w:val="00a5242f"/>
    <w:pPr>
      <w:widowControl w:val="false"/>
      <w:shd w:val="clear" w:color="auto" w:fill="FFFFFF"/>
      <w:spacing w:lineRule="exact" w:line="254" w:before="0" w:after="0"/>
      <w:jc w:val="both"/>
    </w:pPr>
    <w:rPr>
      <w:spacing w:val="2"/>
      <w:shd w:fill="FFFFFF" w:val="clear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a5242f"/>
  </w:style>
  <w:style w:type="numbering" w:styleId="111" w:customStyle="1">
    <w:name w:val="Нет списка11"/>
    <w:uiPriority w:val="99"/>
    <w:semiHidden/>
    <w:unhideWhenUsed/>
    <w:qFormat/>
    <w:rsid w:val="00a5242f"/>
  </w:style>
  <w:style w:type="numbering" w:styleId="1111" w:customStyle="1">
    <w:name w:val="Нет списка111"/>
    <w:uiPriority w:val="99"/>
    <w:semiHidden/>
    <w:unhideWhenUsed/>
    <w:qFormat/>
    <w:rsid w:val="00a5242f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3"/>
    <w:uiPriority w:val="39"/>
    <w:rsid w:val="00a5242f"/>
    <w:pPr>
      <w:spacing w:after="0" w:line="240" w:lineRule="auto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5</Pages>
  <Words>1716</Words>
  <Characters>10995</Characters>
  <CharactersWithSpaces>12290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2024-01-26T10:44:00Z</dcterms:created>
  <dc:creator>Пользователь Windows</dc:creator>
  <dc:description/>
  <dc:language>ru-RU</dc:language>
  <cp:lastModifiedBy/>
  <dcterms:modified xsi:type="dcterms:W3CDTF">2024-03-05T20:14:52Z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